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866" w:rsidRPr="00A61866" w:rsidRDefault="00A61866" w:rsidP="00A61866">
      <w:pPr>
        <w:spacing w:after="0" w:line="276" w:lineRule="auto"/>
        <w:ind w:firstLine="709"/>
        <w:jc w:val="center"/>
        <w:rPr>
          <w:b/>
        </w:rPr>
      </w:pPr>
      <w:r w:rsidRPr="00A61866">
        <w:rPr>
          <w:b/>
        </w:rPr>
        <w:t>ДУША ЧЕЛОВЕКА</w:t>
      </w:r>
    </w:p>
    <w:p w:rsidR="00A61866" w:rsidRDefault="00A61866" w:rsidP="00FB5B7F">
      <w:pPr>
        <w:spacing w:after="0" w:line="276" w:lineRule="auto"/>
        <w:ind w:firstLine="709"/>
        <w:jc w:val="both"/>
      </w:pPr>
    </w:p>
    <w:p w:rsidR="00BF1026" w:rsidRDefault="005A2299" w:rsidP="00FB5B7F">
      <w:pPr>
        <w:spacing w:after="0" w:line="276" w:lineRule="auto"/>
        <w:ind w:firstLine="709"/>
        <w:jc w:val="both"/>
      </w:pPr>
      <w:r>
        <w:t xml:space="preserve">В книге Бытие говорится: «И создал Господь Бог человека из праха земного, и вдунул в лице его дыхание жизни, и стал человек </w:t>
      </w:r>
      <w:proofErr w:type="spellStart"/>
      <w:r>
        <w:t>душею</w:t>
      </w:r>
      <w:proofErr w:type="spellEnd"/>
      <w:r>
        <w:t xml:space="preserve"> живою» (Быт.2:7). Этот текст важен для понимания нескольких основополагающих утверждений православной антропологии, а именно: учение о теле и душе человека. Само указание на тело и душу в очередной раз подчеркивает серединное положение человека в тварном мире</w:t>
      </w:r>
      <w:r>
        <w:rPr>
          <w:rStyle w:val="a5"/>
        </w:rPr>
        <w:footnoteReference w:id="1"/>
      </w:r>
      <w:r>
        <w:t>. Телом своим он связан со всем материальным, душою с ангельским: «</w:t>
      </w:r>
      <w:r w:rsidRPr="00862A0F">
        <w:t>Бог из видимой и невидимой природы Своими руками творит человека</w:t>
      </w:r>
      <w:r w:rsidR="00E62BBB">
        <w:t>…</w:t>
      </w:r>
      <w:r w:rsidRPr="00862A0F">
        <w:t>сотворил его смешанным из двух природ...как середин</w:t>
      </w:r>
      <w:r>
        <w:t>у между величием и ничтожеством»</w:t>
      </w:r>
      <w:r>
        <w:rPr>
          <w:rStyle w:val="a5"/>
        </w:rPr>
        <w:footnoteReference w:id="2"/>
      </w:r>
      <w:r>
        <w:t xml:space="preserve">. </w:t>
      </w:r>
    </w:p>
    <w:p w:rsidR="00BF1026" w:rsidRDefault="005A2299" w:rsidP="00FB5B7F">
      <w:pPr>
        <w:spacing w:after="0" w:line="276" w:lineRule="auto"/>
        <w:ind w:firstLine="709"/>
        <w:jc w:val="both"/>
      </w:pPr>
      <w:r>
        <w:t>Если задаться вопросом о том, почему Бог создал тело человека из праха, а не из более благородного вида материи</w:t>
      </w:r>
      <w:r>
        <w:rPr>
          <w:rStyle w:val="a5"/>
        </w:rPr>
        <w:footnoteReference w:id="3"/>
      </w:r>
      <w:r>
        <w:t>, то святые отцы видят причину этого в том, что, с одной стороны, этим доказывается всемогущество Творца, который из праха создает прекрасное, лучшее свое творение</w:t>
      </w:r>
      <w:r>
        <w:rPr>
          <w:rStyle w:val="a5"/>
        </w:rPr>
        <w:footnoteReference w:id="4"/>
      </w:r>
      <w:r>
        <w:t xml:space="preserve">; с другой, что это напоминает человеку о его происхождении, о его </w:t>
      </w:r>
      <w:proofErr w:type="spellStart"/>
      <w:r>
        <w:t>тварности</w:t>
      </w:r>
      <w:proofErr w:type="spellEnd"/>
      <w:r>
        <w:t xml:space="preserve"> «</w:t>
      </w:r>
      <w:r w:rsidRPr="003A71FD">
        <w:t>сотворил...</w:t>
      </w:r>
      <w:proofErr w:type="spellStart"/>
      <w:r w:rsidRPr="003A71FD">
        <w:t>плотию</w:t>
      </w:r>
      <w:proofErr w:type="spellEnd"/>
      <w:r w:rsidRPr="003A71FD">
        <w:t xml:space="preserve"> — в предупреждение гордости</w:t>
      </w:r>
      <w:r>
        <w:t>», пишет прп. Иоанн Дамаскин</w:t>
      </w:r>
      <w:r>
        <w:rPr>
          <w:rStyle w:val="a5"/>
        </w:rPr>
        <w:footnoteReference w:id="5"/>
      </w:r>
      <w:r>
        <w:t>; и, наконец, с третей, это указывает на то, что человек несводим к миру животному: «Если бы просто сказало Писание, что Бог сотворил человека, ты мог бы подумать, что Он сделал это так же, как были сотворены животные, звери, трава, растения. Чтобы избежать такого включения человека в класс животных, слово Божие открывает искусство, использованное для тебя: Бог взял пыль от земли»</w:t>
      </w:r>
      <w:r>
        <w:rPr>
          <w:rStyle w:val="a5"/>
        </w:rPr>
        <w:footnoteReference w:id="6"/>
      </w:r>
      <w:r>
        <w:t xml:space="preserve">. </w:t>
      </w:r>
    </w:p>
    <w:p w:rsidR="00EF4ABA" w:rsidRDefault="005A2299" w:rsidP="00FB5B7F">
      <w:pPr>
        <w:spacing w:after="0" w:line="276" w:lineRule="auto"/>
        <w:ind w:firstLine="709"/>
        <w:jc w:val="both"/>
      </w:pPr>
      <w:r>
        <w:t xml:space="preserve">Текст Быт.2:7 можно растолковать в смысле удобном для сторонников эволюции, которые видят в актах творения тела и дуновения некоторую хронологию, некоторый отрезок времени, что дает возможность говорить о пребывании человеческого существа в двух стадиях развития: животном и собственно человеческом. Однако святоотеческие тексты никогда не рассматривали данный библейский текст в «эволюционном» ключе. Так, свт. </w:t>
      </w:r>
      <w:r>
        <w:lastRenderedPageBreak/>
        <w:t>Григорий Нисский, прямо отрицает мнение тех, кто «говорят, будто душа по времени вторая после тела»</w:t>
      </w:r>
      <w:r>
        <w:rPr>
          <w:rStyle w:val="a5"/>
        </w:rPr>
        <w:footnoteReference w:id="7"/>
      </w:r>
      <w:r>
        <w:t>. Святитель также отвергает мнения полагающих, что бытие души предшествовало телу, и придерживается взгляда согласно которому, бытие души и тел</w:t>
      </w:r>
      <w:r w:rsidR="00EB2D24">
        <w:t>а</w:t>
      </w:r>
      <w:r>
        <w:t xml:space="preserve"> начинается одновременно, что и является </w:t>
      </w:r>
      <w:proofErr w:type="spellStart"/>
      <w:r>
        <w:t>общесвятоотеческим</w:t>
      </w:r>
      <w:proofErr w:type="spellEnd"/>
      <w:r>
        <w:t xml:space="preserve"> учением (</w:t>
      </w:r>
      <w:proofErr w:type="spellStart"/>
      <w:r w:rsidRPr="006614F5">
        <w:t>consensus</w:t>
      </w:r>
      <w:proofErr w:type="spellEnd"/>
      <w:r w:rsidRPr="006614F5">
        <w:t xml:space="preserve"> </w:t>
      </w:r>
      <w:proofErr w:type="spellStart"/>
      <w:r w:rsidRPr="006614F5">
        <w:t>patrum</w:t>
      </w:r>
      <w:proofErr w:type="spellEnd"/>
      <w:r>
        <w:t>)</w:t>
      </w:r>
      <w:r w:rsidR="00CA439B">
        <w:rPr>
          <w:rStyle w:val="a5"/>
        </w:rPr>
        <w:footnoteReference w:id="8"/>
      </w:r>
      <w:r>
        <w:t xml:space="preserve">.  </w:t>
      </w:r>
    </w:p>
    <w:p w:rsidR="00B52FFE" w:rsidRDefault="00B52FFE" w:rsidP="00FB5B7F">
      <w:pPr>
        <w:spacing w:line="276" w:lineRule="auto"/>
        <w:jc w:val="both"/>
        <w:rPr>
          <w:b/>
        </w:rPr>
      </w:pPr>
    </w:p>
    <w:p w:rsidR="00B52FFE" w:rsidRPr="00A61866" w:rsidRDefault="00B52FFE" w:rsidP="00FB5B7F">
      <w:pPr>
        <w:spacing w:line="276" w:lineRule="auto"/>
        <w:jc w:val="center"/>
        <w:rPr>
          <w:i/>
        </w:rPr>
      </w:pPr>
      <w:r w:rsidRPr="00A61866">
        <w:rPr>
          <w:b/>
          <w:i/>
        </w:rPr>
        <w:t>Дихотомия / трихотомия</w:t>
      </w:r>
    </w:p>
    <w:p w:rsidR="00E62BBB" w:rsidRDefault="00B52FFE" w:rsidP="00FB5B7F">
      <w:pPr>
        <w:spacing w:after="0" w:line="276" w:lineRule="auto"/>
        <w:ind w:firstLine="851"/>
        <w:jc w:val="both"/>
      </w:pPr>
      <w:r>
        <w:t xml:space="preserve">Как уже обозначалось выше, библейский текст Быт.2:7 важен при изложении целого ряда аспектов антропологии. В христианском учении о человеке присутствует вопрос о составе человеческой природы. По этому поводу существует две основных антропологических концепции: </w:t>
      </w:r>
      <w:proofErr w:type="spellStart"/>
      <w:r>
        <w:t>дихотомизм</w:t>
      </w:r>
      <w:proofErr w:type="spellEnd"/>
      <w:r>
        <w:t xml:space="preserve"> (</w:t>
      </w:r>
      <w:proofErr w:type="spellStart"/>
      <w:r>
        <w:t>двусоставность</w:t>
      </w:r>
      <w:proofErr w:type="spellEnd"/>
      <w:r>
        <w:t xml:space="preserve">) и </w:t>
      </w:r>
      <w:proofErr w:type="spellStart"/>
      <w:r>
        <w:t>трихотомизм</w:t>
      </w:r>
      <w:proofErr w:type="spellEnd"/>
      <w:r>
        <w:t xml:space="preserve"> (</w:t>
      </w:r>
      <w:proofErr w:type="spellStart"/>
      <w:r>
        <w:t>трехсоставность</w:t>
      </w:r>
      <w:proofErr w:type="spellEnd"/>
      <w:r>
        <w:t>)</w:t>
      </w:r>
      <w:r>
        <w:rPr>
          <w:rStyle w:val="a5"/>
        </w:rPr>
        <w:footnoteReference w:id="9"/>
      </w:r>
      <w:r>
        <w:t xml:space="preserve">. </w:t>
      </w:r>
    </w:p>
    <w:p w:rsidR="00B52FFE" w:rsidRDefault="00B52FFE" w:rsidP="00FB5B7F">
      <w:pPr>
        <w:spacing w:after="0" w:line="276" w:lineRule="auto"/>
        <w:ind w:firstLine="851"/>
        <w:jc w:val="both"/>
      </w:pPr>
      <w:r>
        <w:t xml:space="preserve">Сторонники </w:t>
      </w:r>
      <w:proofErr w:type="spellStart"/>
      <w:r>
        <w:t>трихотомизма</w:t>
      </w:r>
      <w:proofErr w:type="spellEnd"/>
      <w:r>
        <w:t xml:space="preserve"> видят основанием своих взглядов вышеуказанный библейское повествование, в котором под вдунутым дыханием жизни видят третью составляющую человеческой природы – дух. Подобное толковании данного текста не находит поддержки в святоотеческом наследии, так как святые отцы видели в этих словах Писания указание на дарование души и одновременно с ней благодатных даров Св. Духа: «Он вдунул в лицо его, то есть вложил в человека нечто от собственной Своей благодати», - говорит свт. Василий Великий</w:t>
      </w:r>
      <w:r>
        <w:rPr>
          <w:rStyle w:val="a5"/>
        </w:rPr>
        <w:footnoteReference w:id="10"/>
      </w:r>
      <w:r>
        <w:t xml:space="preserve">. То, что речь идет не о даровании третей части человеческого естества, а о душе, указывает сам текст Писания, когда говорит </w:t>
      </w:r>
      <w:r w:rsidRPr="00025AC3">
        <w:t xml:space="preserve">«стал человек </w:t>
      </w:r>
      <w:proofErr w:type="spellStart"/>
      <w:r w:rsidRPr="00025AC3">
        <w:t>душею</w:t>
      </w:r>
      <w:proofErr w:type="spellEnd"/>
      <w:r>
        <w:t xml:space="preserve"> </w:t>
      </w:r>
      <w:r w:rsidRPr="00025AC3">
        <w:t>живою</w:t>
      </w:r>
      <w:r>
        <w:t>»</w:t>
      </w:r>
      <w:r w:rsidRPr="00025AC3">
        <w:t xml:space="preserve"> (Быт.2:7)</w:t>
      </w:r>
      <w:r>
        <w:t xml:space="preserve">, то есть тут прямо говорится о душе как о том, что приводит в жизнь тело: «Что значит: </w:t>
      </w:r>
      <w:proofErr w:type="spellStart"/>
      <w:r>
        <w:t>душею</w:t>
      </w:r>
      <w:proofErr w:type="spellEnd"/>
      <w:r>
        <w:t xml:space="preserve"> живою? Душою действующей, для которой члены тела - как орудия ее действий, послушные ее воле», - говорит свт. Иоанн Златоуст</w:t>
      </w:r>
      <w:r>
        <w:rPr>
          <w:rStyle w:val="a5"/>
        </w:rPr>
        <w:footnoteReference w:id="11"/>
      </w:r>
      <w:r>
        <w:t xml:space="preserve">. </w:t>
      </w:r>
    </w:p>
    <w:p w:rsidR="00FB5B7F" w:rsidRDefault="00B52FFE" w:rsidP="00FB5B7F">
      <w:pPr>
        <w:spacing w:after="0" w:line="276" w:lineRule="auto"/>
        <w:ind w:firstLine="851"/>
        <w:jc w:val="both"/>
      </w:pPr>
      <w:r>
        <w:t>Блаженный Августин толкуя евангельский текст «</w:t>
      </w:r>
      <w:r w:rsidRPr="00025AC3">
        <w:t xml:space="preserve">Сказав это, дунул, и говорит им: примите Духа </w:t>
      </w:r>
      <w:proofErr w:type="spellStart"/>
      <w:r w:rsidRPr="00025AC3">
        <w:t>Святаго</w:t>
      </w:r>
      <w:proofErr w:type="spellEnd"/>
      <w:r>
        <w:t xml:space="preserve">» </w:t>
      </w:r>
      <w:r w:rsidRPr="00025AC3">
        <w:t>(Ин.20:22)</w:t>
      </w:r>
      <w:r>
        <w:t xml:space="preserve">, сравнивает этот текст с рассказом </w:t>
      </w:r>
      <w:r w:rsidRPr="00025AC3">
        <w:t>Быт.</w:t>
      </w:r>
      <w:r>
        <w:t xml:space="preserve"> </w:t>
      </w:r>
      <w:r w:rsidRPr="00025AC3">
        <w:t>2:7</w:t>
      </w:r>
      <w:r>
        <w:t>, и видит в обоих текстах указания на действие Св. Духа</w:t>
      </w:r>
      <w:r>
        <w:rPr>
          <w:rStyle w:val="a5"/>
        </w:rPr>
        <w:footnoteReference w:id="12"/>
      </w:r>
      <w:r>
        <w:t xml:space="preserve">. Это объяснение святого отца находится в контексте православного учения о способе действия Лиц Пресвятой Троицы в мире: Бог-Отец желает, Сын исполняет, Св. Дух освящает. Таким образом, текст </w:t>
      </w:r>
      <w:r w:rsidRPr="00025AC3">
        <w:t>Быт.</w:t>
      </w:r>
      <w:r>
        <w:t xml:space="preserve"> </w:t>
      </w:r>
      <w:r w:rsidRPr="00025AC3">
        <w:t>2:7</w:t>
      </w:r>
      <w:r>
        <w:t xml:space="preserve"> объясняется в смысле действия всех Лиц Пресвятой </w:t>
      </w:r>
      <w:r>
        <w:lastRenderedPageBreak/>
        <w:t>Троицы: Отец пожелал творения человека, Сын сотворил, а Св. Дух освятил сотворенного человека, даровав ему Свои дары</w:t>
      </w:r>
      <w:r>
        <w:rPr>
          <w:rStyle w:val="a5"/>
        </w:rPr>
        <w:footnoteReference w:id="13"/>
      </w:r>
      <w:r>
        <w:t>.</w:t>
      </w:r>
      <w:r w:rsidR="00FB5B7F">
        <w:t xml:space="preserve"> </w:t>
      </w:r>
    </w:p>
    <w:p w:rsidR="00FB5B7F" w:rsidRDefault="00FB5B7F" w:rsidP="00FB5B7F">
      <w:pPr>
        <w:spacing w:after="0" w:line="276" w:lineRule="auto"/>
        <w:ind w:firstLine="851"/>
        <w:jc w:val="both"/>
      </w:pPr>
      <w:r>
        <w:t xml:space="preserve">В целом, говоря, о составе природы человека, следует отметить, что не смотря на некоторые выражения святого апостола Павла, которые можно растолковать в пользу </w:t>
      </w:r>
      <w:proofErr w:type="spellStart"/>
      <w:r>
        <w:t>трех</w:t>
      </w:r>
      <w:r w:rsidR="000A38C3">
        <w:t>составности</w:t>
      </w:r>
      <w:proofErr w:type="spellEnd"/>
      <w:r>
        <w:t xml:space="preserve"> — «Сам же Бог мира да освятит вас во всей полноте, и ваш дух, и душа, и тело во всей целости да сохранится без порока в пришествие Господа нашего Иисуса Христа» (1Фесс.5:23) и «</w:t>
      </w:r>
      <w:r w:rsidRPr="004D2E04">
        <w:t>Ибо слово Божие живо и действенно и острее всякого меча обоюдоострого: оно проникает до разделения души и духа, составов и мозгов, и судит помышления и намерения сердечные</w:t>
      </w:r>
      <w:r>
        <w:t>» (Евр. 4:12) — абсолютное большинство святых отцов и христианских писателей явились сторонниками дихотомии</w:t>
      </w:r>
      <w:r>
        <w:rPr>
          <w:rStyle w:val="a5"/>
        </w:rPr>
        <w:footnoteReference w:id="14"/>
      </w:r>
      <w:r>
        <w:t>. Вышеприведенные слова из посланий апостольских рассматривались в том, смысле что дух и душа в этих текстах являются синонимами, или духом называется высшая способность души (ум), или «дух» обозначает благодатные дары Св. Духа</w:t>
      </w:r>
      <w:r w:rsidR="005D4986">
        <w:rPr>
          <w:rStyle w:val="a5"/>
        </w:rPr>
        <w:footnoteReference w:id="15"/>
      </w:r>
      <w:r>
        <w:t xml:space="preserve">. </w:t>
      </w:r>
      <w:proofErr w:type="spellStart"/>
      <w:r>
        <w:t>Еп</w:t>
      </w:r>
      <w:proofErr w:type="spellEnd"/>
      <w:r>
        <w:t>. Сильвестр (</w:t>
      </w:r>
      <w:proofErr w:type="spellStart"/>
      <w:r>
        <w:t>Малеванский</w:t>
      </w:r>
      <w:proofErr w:type="spellEnd"/>
      <w:r>
        <w:t>) поясняет: «</w:t>
      </w:r>
      <w:r w:rsidRPr="00AB6052">
        <w:t xml:space="preserve">Апостол под </w:t>
      </w:r>
      <w:proofErr w:type="spellStart"/>
      <w:r w:rsidRPr="00AB6052">
        <w:t>ставимым</w:t>
      </w:r>
      <w:proofErr w:type="spellEnd"/>
      <w:r w:rsidRPr="00AB6052">
        <w:t xml:space="preserve"> им подле души духом разумеет не что-либо совершенно иное или параллельно стоящее в отношении к душе, а ту же самую душу, только в ее </w:t>
      </w:r>
      <w:proofErr w:type="spellStart"/>
      <w:r w:rsidRPr="00AB6052">
        <w:t>внутреннейшей</w:t>
      </w:r>
      <w:proofErr w:type="spellEnd"/>
      <w:r w:rsidRPr="00AB6052">
        <w:t xml:space="preserve"> или </w:t>
      </w:r>
      <w:proofErr w:type="spellStart"/>
      <w:r w:rsidRPr="00AB6052">
        <w:t>сокровеннейшей</w:t>
      </w:r>
      <w:proofErr w:type="spellEnd"/>
      <w:r w:rsidRPr="00AB6052">
        <w:t xml:space="preserve"> стороне, до которой, несмотря на ее недосягаемую глубину, все-таки своими всесильными действиями достигает слово Божие. Ясным подтверждением сему служит то, что здесь же отношения души и духа, в которых представляется действующим слово Божие, сопоставляются с отношениями членов и мозгов, из коих последние относятся к первым не так, как что-либо совершенно отдельно или вне их находящееся, а как внутренняя их принадлежность, или как содержимое — к содержащему… под духом Апостол разумеет не особенную, отличную от души, составную часть природы человеческой, а нечто такое, что, хотя имеет свой особенный отличительный характер, но </w:t>
      </w:r>
      <w:proofErr w:type="spellStart"/>
      <w:r w:rsidRPr="00AB6052">
        <w:t>внутренно</w:t>
      </w:r>
      <w:proofErr w:type="spellEnd"/>
      <w:r w:rsidRPr="00AB6052">
        <w:t xml:space="preserve"> и нера</w:t>
      </w:r>
      <w:r>
        <w:t>здельно соединено с самою душою»</w:t>
      </w:r>
      <w:r>
        <w:rPr>
          <w:rStyle w:val="a5"/>
        </w:rPr>
        <w:footnoteReference w:id="16"/>
      </w:r>
      <w:r>
        <w:t xml:space="preserve">. Приведем также цитату свт. Иоанна Златоуста: </w:t>
      </w:r>
      <w:r w:rsidRPr="00EA0BE5">
        <w:t xml:space="preserve">«Бог — творец душ разумных и чувствующих. В людях же нет никакого различия между духом и душей; но эти два названия обозначают одно и то же, как тело и плоть, </w:t>
      </w:r>
      <w:r>
        <w:t>человек и разумное животное»</w:t>
      </w:r>
      <w:r>
        <w:rPr>
          <w:rStyle w:val="a5"/>
        </w:rPr>
        <w:footnoteReference w:id="17"/>
      </w:r>
      <w:r>
        <w:t xml:space="preserve">. Таким образом, даже когда речь идет о наличии в человеческой природе духа, его (дух) нельзя рассматривать как отдельную субстанцию, имеющее отдельное бытие от души и тела.  Кроме того, как верно </w:t>
      </w:r>
      <w:r>
        <w:lastRenderedPageBreak/>
        <w:t>замечают некоторые авторы</w:t>
      </w:r>
      <w:r>
        <w:rPr>
          <w:rStyle w:val="a5"/>
        </w:rPr>
        <w:footnoteReference w:id="18"/>
      </w:r>
      <w:r>
        <w:t xml:space="preserve">, можно говорить о </w:t>
      </w:r>
      <w:proofErr w:type="spellStart"/>
      <w:r w:rsidRPr="00AB6052">
        <w:t>скомпроментированости</w:t>
      </w:r>
      <w:proofErr w:type="spellEnd"/>
      <w:r w:rsidRPr="00AB6052">
        <w:t xml:space="preserve"> </w:t>
      </w:r>
      <w:proofErr w:type="spellStart"/>
      <w:r>
        <w:t>трихотомиза</w:t>
      </w:r>
      <w:proofErr w:type="spellEnd"/>
      <w:r>
        <w:t xml:space="preserve"> в результате использования этой антропологической схемы в </w:t>
      </w:r>
      <w:proofErr w:type="spellStart"/>
      <w:r>
        <w:t>христологических</w:t>
      </w:r>
      <w:proofErr w:type="spellEnd"/>
      <w:r>
        <w:t xml:space="preserve"> построениях </w:t>
      </w:r>
      <w:r w:rsidRPr="000751F7">
        <w:t>Аполлинария Лаодикийского</w:t>
      </w:r>
      <w:r>
        <w:rPr>
          <w:rStyle w:val="a5"/>
        </w:rPr>
        <w:footnoteReference w:id="19"/>
      </w:r>
      <w:r>
        <w:t xml:space="preserve">.   </w:t>
      </w:r>
    </w:p>
    <w:p w:rsidR="0007456D" w:rsidRDefault="0007456D" w:rsidP="00FB5B7F">
      <w:pPr>
        <w:spacing w:after="0" w:line="276" w:lineRule="auto"/>
        <w:ind w:firstLine="851"/>
        <w:jc w:val="both"/>
      </w:pPr>
    </w:p>
    <w:p w:rsidR="000A1998" w:rsidRPr="000007CC" w:rsidRDefault="00FA3238" w:rsidP="000A1998">
      <w:pPr>
        <w:jc w:val="center"/>
        <w:rPr>
          <w:b/>
          <w:i/>
          <w:sz w:val="24"/>
        </w:rPr>
      </w:pPr>
      <w:r>
        <w:t xml:space="preserve"> </w:t>
      </w:r>
    </w:p>
    <w:p w:rsidR="000A1998" w:rsidRPr="00E50C13" w:rsidRDefault="00E50C13" w:rsidP="00E50C13">
      <w:pPr>
        <w:spacing w:after="0" w:line="276" w:lineRule="auto"/>
        <w:jc w:val="center"/>
        <w:rPr>
          <w:b/>
        </w:rPr>
      </w:pPr>
      <w:r w:rsidRPr="00E50C13">
        <w:rPr>
          <w:b/>
        </w:rPr>
        <w:t>Обязательно к прочтению</w:t>
      </w:r>
    </w:p>
    <w:p w:rsidR="00E50C13" w:rsidRPr="00E50C13" w:rsidRDefault="00E50C13" w:rsidP="00E50C13">
      <w:pPr>
        <w:spacing w:after="0" w:line="276" w:lineRule="auto"/>
        <w:jc w:val="center"/>
        <w:rPr>
          <w:sz w:val="36"/>
        </w:rPr>
      </w:pPr>
    </w:p>
    <w:p w:rsidR="00E50C13" w:rsidRPr="00E50C13" w:rsidRDefault="00E50C13" w:rsidP="00E50C13">
      <w:pPr>
        <w:spacing w:after="0" w:line="276" w:lineRule="auto"/>
        <w:jc w:val="center"/>
        <w:rPr>
          <w:sz w:val="36"/>
        </w:rPr>
      </w:pPr>
      <w:proofErr w:type="spellStart"/>
      <w:r w:rsidRPr="00E50C13">
        <w:t>Дихотомизм</w:t>
      </w:r>
      <w:proofErr w:type="spellEnd"/>
      <w:r w:rsidRPr="00E50C13">
        <w:t>// П</w:t>
      </w:r>
      <w:bookmarkStart w:id="0" w:name="_GoBack"/>
      <w:bookmarkEnd w:id="0"/>
      <w:r w:rsidRPr="00E50C13">
        <w:t>равославная энциклопедия, Т. 15</w:t>
      </w:r>
    </w:p>
    <w:sectPr w:rsidR="00E50C13" w:rsidRPr="00E50C13" w:rsidSect="00A61866">
      <w:footerReference w:type="default" r:id="rId7"/>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A1A" w:rsidRDefault="00782A1A" w:rsidP="005A2299">
      <w:pPr>
        <w:spacing w:after="0" w:line="240" w:lineRule="auto"/>
      </w:pPr>
      <w:r>
        <w:separator/>
      </w:r>
    </w:p>
  </w:endnote>
  <w:endnote w:type="continuationSeparator" w:id="0">
    <w:p w:rsidR="00782A1A" w:rsidRDefault="00782A1A" w:rsidP="005A2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452238"/>
      <w:docPartObj>
        <w:docPartGallery w:val="Page Numbers (Bottom of Page)"/>
        <w:docPartUnique/>
      </w:docPartObj>
    </w:sdtPr>
    <w:sdtEndPr/>
    <w:sdtContent>
      <w:p w:rsidR="00BF1026" w:rsidRDefault="00BF1026">
        <w:pPr>
          <w:pStyle w:val="a8"/>
          <w:jc w:val="center"/>
        </w:pPr>
        <w:r>
          <w:fldChar w:fldCharType="begin"/>
        </w:r>
        <w:r>
          <w:instrText>PAGE   \* MERGEFORMAT</w:instrText>
        </w:r>
        <w:r>
          <w:fldChar w:fldCharType="separate"/>
        </w:r>
        <w:r w:rsidR="005D4986">
          <w:rPr>
            <w:noProof/>
          </w:rPr>
          <w:t>4</w:t>
        </w:r>
        <w:r>
          <w:fldChar w:fldCharType="end"/>
        </w:r>
      </w:p>
    </w:sdtContent>
  </w:sdt>
  <w:p w:rsidR="00BF1026" w:rsidRDefault="00BF102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A1A" w:rsidRDefault="00782A1A" w:rsidP="005A2299">
      <w:pPr>
        <w:spacing w:after="0" w:line="240" w:lineRule="auto"/>
      </w:pPr>
      <w:r>
        <w:separator/>
      </w:r>
    </w:p>
  </w:footnote>
  <w:footnote w:type="continuationSeparator" w:id="0">
    <w:p w:rsidR="00782A1A" w:rsidRDefault="00782A1A" w:rsidP="005A2299">
      <w:pPr>
        <w:spacing w:after="0" w:line="240" w:lineRule="auto"/>
      </w:pPr>
      <w:r>
        <w:continuationSeparator/>
      </w:r>
    </w:p>
  </w:footnote>
  <w:footnote w:id="1">
    <w:p w:rsidR="005A2299" w:rsidRPr="00FB5B7F" w:rsidRDefault="005A2299" w:rsidP="00FB5B7F">
      <w:pPr>
        <w:pStyle w:val="a3"/>
        <w:jc w:val="both"/>
        <w:rPr>
          <w:sz w:val="22"/>
          <w:szCs w:val="22"/>
        </w:rPr>
      </w:pPr>
      <w:r w:rsidRPr="00FB5B7F">
        <w:rPr>
          <w:rStyle w:val="a5"/>
          <w:sz w:val="22"/>
          <w:szCs w:val="22"/>
        </w:rPr>
        <w:footnoteRef/>
      </w:r>
      <w:r w:rsidRPr="00FB5B7F">
        <w:rPr>
          <w:sz w:val="22"/>
          <w:szCs w:val="22"/>
        </w:rPr>
        <w:t xml:space="preserve"> «Следует заметить, что человек имеет нечто общее с неодушевленными существами, причастен жизни неразумных и обладает мышлением разумных. С неодушевленными человек имеет сходство в том, что обладает телом; с растениями в том же самом и, кроме того, в том, что имеет способность питаться, расти, производить семя и рождать; а с неразумными — во всем только что упомянутом и вдобавок в том, что имеет влечения, т.е. доступен гневу и хотению, что наделен чувством и способностью движения по внутренним побуждениям… С существами бестелесными и духовными человек соприкасается посредством разума, — рассуждая, составляя понятия и суждения о каждой вещи, стремясь к добродетелям и любя то, что составляет вершину всех добродетелей — благочестие» // Иоанн Дамаскин, прп. Точное изложение Православной Веры//Книга 2, Глава XII "О человеке". </w:t>
      </w:r>
    </w:p>
  </w:footnote>
  <w:footnote w:id="2">
    <w:p w:rsidR="005A2299" w:rsidRPr="00FB5B7F" w:rsidRDefault="005A2299" w:rsidP="00FB5B7F">
      <w:pPr>
        <w:pStyle w:val="a3"/>
        <w:jc w:val="both"/>
        <w:rPr>
          <w:sz w:val="22"/>
          <w:szCs w:val="22"/>
        </w:rPr>
      </w:pPr>
      <w:r w:rsidRPr="00FB5B7F">
        <w:rPr>
          <w:rStyle w:val="a5"/>
          <w:sz w:val="22"/>
          <w:szCs w:val="22"/>
        </w:rPr>
        <w:footnoteRef/>
      </w:r>
      <w:r w:rsidRPr="00FB5B7F">
        <w:rPr>
          <w:sz w:val="22"/>
          <w:szCs w:val="22"/>
        </w:rPr>
        <w:t xml:space="preserve"> Иоанн Дамаскин, прп. Точное изложение Православной Веры//Книга 2, Глава XII "О человеке" </w:t>
      </w:r>
    </w:p>
  </w:footnote>
  <w:footnote w:id="3">
    <w:p w:rsidR="005A2299" w:rsidRPr="00FB5B7F" w:rsidRDefault="005A2299" w:rsidP="00FB5B7F">
      <w:pPr>
        <w:spacing w:after="0" w:line="240" w:lineRule="auto"/>
        <w:jc w:val="both"/>
        <w:rPr>
          <w:sz w:val="22"/>
        </w:rPr>
      </w:pPr>
      <w:r w:rsidRPr="00FB5B7F">
        <w:rPr>
          <w:rStyle w:val="a5"/>
          <w:sz w:val="22"/>
        </w:rPr>
        <w:footnoteRef/>
      </w:r>
      <w:r w:rsidRPr="00FB5B7F">
        <w:rPr>
          <w:sz w:val="22"/>
        </w:rPr>
        <w:t xml:space="preserve"> Например, Блж. Августин в «О Книге Бытия, против манихеев» задает такой вопрос: «почему Бог сотворил человека из праха? Разве не было у Него лучшей, небесной материи, что Он сотворил хрупкое смертное существо из земной грязи?»</w:t>
      </w:r>
    </w:p>
  </w:footnote>
  <w:footnote w:id="4">
    <w:p w:rsidR="005A2299" w:rsidRPr="00FB5B7F" w:rsidRDefault="005A2299" w:rsidP="00FB5B7F">
      <w:pPr>
        <w:pStyle w:val="a3"/>
        <w:jc w:val="both"/>
        <w:rPr>
          <w:sz w:val="22"/>
          <w:szCs w:val="22"/>
        </w:rPr>
      </w:pPr>
      <w:r w:rsidRPr="00FB5B7F">
        <w:rPr>
          <w:rStyle w:val="a5"/>
          <w:sz w:val="22"/>
          <w:szCs w:val="22"/>
        </w:rPr>
        <w:footnoteRef/>
      </w:r>
      <w:r w:rsidRPr="00FB5B7F">
        <w:rPr>
          <w:sz w:val="22"/>
          <w:szCs w:val="22"/>
        </w:rPr>
        <w:t xml:space="preserve"> См. Блж. Августин. Указ.соч.  </w:t>
      </w:r>
    </w:p>
  </w:footnote>
  <w:footnote w:id="5">
    <w:p w:rsidR="005A2299" w:rsidRPr="00FB5B7F" w:rsidRDefault="005A2299" w:rsidP="00FB5B7F">
      <w:pPr>
        <w:pStyle w:val="a3"/>
        <w:jc w:val="both"/>
        <w:rPr>
          <w:sz w:val="22"/>
          <w:szCs w:val="22"/>
        </w:rPr>
      </w:pPr>
      <w:r w:rsidRPr="00FB5B7F">
        <w:rPr>
          <w:rStyle w:val="a5"/>
          <w:sz w:val="22"/>
          <w:szCs w:val="22"/>
        </w:rPr>
        <w:footnoteRef/>
      </w:r>
      <w:r w:rsidRPr="00FB5B7F">
        <w:rPr>
          <w:sz w:val="22"/>
          <w:szCs w:val="22"/>
        </w:rPr>
        <w:t xml:space="preserve"> Иоанн Дамаскин, прп. Точное изложение Православной Веры//Книга 2, Глава XII "О человеке" </w:t>
      </w:r>
    </w:p>
  </w:footnote>
  <w:footnote w:id="6">
    <w:p w:rsidR="005A2299" w:rsidRPr="00FB5B7F" w:rsidRDefault="005A2299" w:rsidP="00FB5B7F">
      <w:pPr>
        <w:spacing w:after="0" w:line="240" w:lineRule="auto"/>
        <w:jc w:val="both"/>
        <w:rPr>
          <w:sz w:val="22"/>
        </w:rPr>
      </w:pPr>
      <w:r w:rsidRPr="00FB5B7F">
        <w:rPr>
          <w:rStyle w:val="a5"/>
          <w:sz w:val="22"/>
        </w:rPr>
        <w:footnoteRef/>
      </w:r>
      <w:r w:rsidRPr="00FB5B7F">
        <w:rPr>
          <w:sz w:val="22"/>
        </w:rPr>
        <w:t xml:space="preserve"> Григорий Нисский, свт. Об устроении человека.  </w:t>
      </w:r>
    </w:p>
  </w:footnote>
  <w:footnote w:id="7">
    <w:p w:rsidR="005A2299" w:rsidRPr="00FB5B7F" w:rsidRDefault="005A2299" w:rsidP="00FB5B7F">
      <w:pPr>
        <w:pStyle w:val="a3"/>
        <w:jc w:val="both"/>
        <w:rPr>
          <w:sz w:val="22"/>
          <w:szCs w:val="22"/>
        </w:rPr>
      </w:pPr>
      <w:r w:rsidRPr="00FB5B7F">
        <w:rPr>
          <w:rStyle w:val="a5"/>
          <w:sz w:val="22"/>
          <w:szCs w:val="22"/>
        </w:rPr>
        <w:footnoteRef/>
      </w:r>
      <w:r w:rsidRPr="00FB5B7F">
        <w:rPr>
          <w:sz w:val="22"/>
          <w:szCs w:val="22"/>
        </w:rPr>
        <w:t xml:space="preserve"> Григорий Нисский, свт. Об устроении человека.   </w:t>
      </w:r>
    </w:p>
  </w:footnote>
  <w:footnote w:id="8">
    <w:p w:rsidR="00CA439B" w:rsidRPr="00FB5B7F" w:rsidRDefault="00CA439B" w:rsidP="00FB5B7F">
      <w:pPr>
        <w:pStyle w:val="a3"/>
        <w:jc w:val="both"/>
        <w:rPr>
          <w:sz w:val="22"/>
          <w:szCs w:val="22"/>
        </w:rPr>
      </w:pPr>
      <w:r w:rsidRPr="00FB5B7F">
        <w:rPr>
          <w:rStyle w:val="a5"/>
          <w:sz w:val="22"/>
          <w:szCs w:val="22"/>
        </w:rPr>
        <w:footnoteRef/>
      </w:r>
      <w:r w:rsidRPr="00FB5B7F">
        <w:rPr>
          <w:sz w:val="22"/>
          <w:szCs w:val="22"/>
        </w:rPr>
        <w:t xml:space="preserve"> «Душа была создана вместе с телом, а не так, как пустословил </w:t>
      </w:r>
      <w:proofErr w:type="spellStart"/>
      <w:r w:rsidRPr="00FB5B7F">
        <w:rPr>
          <w:sz w:val="22"/>
          <w:szCs w:val="22"/>
        </w:rPr>
        <w:t>Ориген</w:t>
      </w:r>
      <w:proofErr w:type="spellEnd"/>
      <w:r w:rsidRPr="00FB5B7F">
        <w:rPr>
          <w:sz w:val="22"/>
          <w:szCs w:val="22"/>
        </w:rPr>
        <w:t xml:space="preserve">, будто сначала была сотворена душа, а потом </w:t>
      </w:r>
      <w:r w:rsidR="0007456D" w:rsidRPr="00FB5B7F">
        <w:rPr>
          <w:sz w:val="22"/>
          <w:szCs w:val="22"/>
        </w:rPr>
        <w:t>тело» /</w:t>
      </w:r>
      <w:r w:rsidRPr="00FB5B7F">
        <w:rPr>
          <w:sz w:val="22"/>
          <w:szCs w:val="22"/>
        </w:rPr>
        <w:t>/</w:t>
      </w:r>
      <w:r w:rsidR="005A4588" w:rsidRPr="00FB5B7F">
        <w:rPr>
          <w:sz w:val="22"/>
          <w:szCs w:val="22"/>
        </w:rPr>
        <w:t xml:space="preserve"> Иоанн Дамаскин, прп. Точное изложение Православной Веры//Книга 2, Глава XII "О человеке"</w:t>
      </w:r>
      <w:r w:rsidR="0007456D" w:rsidRPr="00FB5B7F">
        <w:rPr>
          <w:sz w:val="22"/>
          <w:szCs w:val="22"/>
        </w:rPr>
        <w:t xml:space="preserve">. </w:t>
      </w:r>
      <w:r w:rsidR="005A4588" w:rsidRPr="00FB5B7F">
        <w:rPr>
          <w:sz w:val="22"/>
          <w:szCs w:val="22"/>
        </w:rPr>
        <w:t xml:space="preserve"> </w:t>
      </w:r>
    </w:p>
  </w:footnote>
  <w:footnote w:id="9">
    <w:p w:rsidR="00B52FFE" w:rsidRPr="00FB5B7F" w:rsidRDefault="00B52FFE" w:rsidP="00FB5B7F">
      <w:pPr>
        <w:pStyle w:val="a3"/>
        <w:jc w:val="both"/>
        <w:rPr>
          <w:sz w:val="22"/>
          <w:szCs w:val="22"/>
        </w:rPr>
      </w:pPr>
      <w:r w:rsidRPr="00FB5B7F">
        <w:rPr>
          <w:rStyle w:val="a5"/>
          <w:sz w:val="22"/>
          <w:szCs w:val="22"/>
        </w:rPr>
        <w:footnoteRef/>
      </w:r>
      <w:r w:rsidRPr="00FB5B7F">
        <w:rPr>
          <w:sz w:val="22"/>
          <w:szCs w:val="22"/>
        </w:rPr>
        <w:t xml:space="preserve"> В Православной энциклопедии дается такое определение: </w:t>
      </w:r>
      <w:proofErr w:type="spellStart"/>
      <w:r w:rsidRPr="00FB5B7F">
        <w:rPr>
          <w:sz w:val="22"/>
          <w:szCs w:val="22"/>
        </w:rPr>
        <w:t>Дихотомизм</w:t>
      </w:r>
      <w:proofErr w:type="spellEnd"/>
      <w:r w:rsidRPr="00FB5B7F">
        <w:rPr>
          <w:sz w:val="22"/>
          <w:szCs w:val="22"/>
        </w:rPr>
        <w:t xml:space="preserve"> — христианская антропологическая концепция, выделяющая в структуре единой чело­веческой природы 2 составляющие: тело и душу. </w:t>
      </w:r>
      <w:proofErr w:type="spellStart"/>
      <w:r w:rsidRPr="00FB5B7F">
        <w:rPr>
          <w:sz w:val="22"/>
          <w:szCs w:val="22"/>
        </w:rPr>
        <w:t>трихотомизм</w:t>
      </w:r>
      <w:proofErr w:type="spellEnd"/>
      <w:r w:rsidRPr="00FB5B7F">
        <w:rPr>
          <w:sz w:val="22"/>
          <w:szCs w:val="22"/>
        </w:rPr>
        <w:t xml:space="preserve"> — концепции, утверждающая </w:t>
      </w:r>
      <w:proofErr w:type="spellStart"/>
      <w:r w:rsidRPr="00FB5B7F">
        <w:rPr>
          <w:sz w:val="22"/>
          <w:szCs w:val="22"/>
        </w:rPr>
        <w:t>трехчастность</w:t>
      </w:r>
      <w:proofErr w:type="spellEnd"/>
      <w:r w:rsidRPr="00FB5B7F">
        <w:rPr>
          <w:sz w:val="22"/>
          <w:szCs w:val="22"/>
        </w:rPr>
        <w:t xml:space="preserve"> человеческого естества, т. е. состав его из тела, души и духа// Православная энциклопедия, Т. 15, С. 418-419</w:t>
      </w:r>
    </w:p>
  </w:footnote>
  <w:footnote w:id="10">
    <w:p w:rsidR="00B52FFE" w:rsidRPr="00FB5B7F" w:rsidRDefault="00B52FFE" w:rsidP="00FB5B7F">
      <w:pPr>
        <w:pStyle w:val="a3"/>
        <w:jc w:val="both"/>
        <w:rPr>
          <w:sz w:val="22"/>
          <w:szCs w:val="22"/>
        </w:rPr>
      </w:pPr>
      <w:r w:rsidRPr="00FB5B7F">
        <w:rPr>
          <w:rStyle w:val="a5"/>
          <w:sz w:val="22"/>
          <w:szCs w:val="22"/>
        </w:rPr>
        <w:footnoteRef/>
      </w:r>
      <w:r w:rsidRPr="00FB5B7F">
        <w:rPr>
          <w:sz w:val="22"/>
          <w:szCs w:val="22"/>
        </w:rPr>
        <w:t xml:space="preserve"> Василий Великий, свт. Толкование на псалом 48 </w:t>
      </w:r>
    </w:p>
  </w:footnote>
  <w:footnote w:id="11">
    <w:p w:rsidR="00B52FFE" w:rsidRPr="00FB5B7F" w:rsidRDefault="00B52FFE" w:rsidP="00FB5B7F">
      <w:pPr>
        <w:pStyle w:val="a3"/>
        <w:jc w:val="both"/>
        <w:rPr>
          <w:sz w:val="22"/>
          <w:szCs w:val="22"/>
        </w:rPr>
      </w:pPr>
      <w:r w:rsidRPr="00FB5B7F">
        <w:rPr>
          <w:rStyle w:val="a5"/>
          <w:sz w:val="22"/>
          <w:szCs w:val="22"/>
        </w:rPr>
        <w:footnoteRef/>
      </w:r>
      <w:r w:rsidRPr="00FB5B7F">
        <w:rPr>
          <w:sz w:val="22"/>
          <w:szCs w:val="22"/>
        </w:rPr>
        <w:t xml:space="preserve"> Иоанн Златоуст, свт. Беседы на книгу Бытия </w:t>
      </w:r>
    </w:p>
  </w:footnote>
  <w:footnote w:id="12">
    <w:p w:rsidR="00B52FFE" w:rsidRPr="00FB5B7F" w:rsidRDefault="00B52FFE" w:rsidP="00FB5B7F">
      <w:pPr>
        <w:pStyle w:val="a3"/>
        <w:jc w:val="both"/>
        <w:rPr>
          <w:sz w:val="22"/>
          <w:szCs w:val="22"/>
        </w:rPr>
      </w:pPr>
      <w:r w:rsidRPr="00FB5B7F">
        <w:rPr>
          <w:rStyle w:val="a5"/>
          <w:sz w:val="22"/>
          <w:szCs w:val="22"/>
        </w:rPr>
        <w:footnoteRef/>
      </w:r>
      <w:r w:rsidRPr="00FB5B7F">
        <w:rPr>
          <w:sz w:val="22"/>
          <w:szCs w:val="22"/>
        </w:rPr>
        <w:t xml:space="preserve"> Августин, </w:t>
      </w:r>
      <w:proofErr w:type="spellStart"/>
      <w:r w:rsidRPr="00FB5B7F">
        <w:rPr>
          <w:sz w:val="22"/>
          <w:szCs w:val="22"/>
        </w:rPr>
        <w:t>блж</w:t>
      </w:r>
      <w:proofErr w:type="spellEnd"/>
      <w:r w:rsidRPr="00FB5B7F">
        <w:rPr>
          <w:sz w:val="22"/>
          <w:szCs w:val="22"/>
        </w:rPr>
        <w:t xml:space="preserve">. Трактат на Евангелие от Иоанна </w:t>
      </w:r>
    </w:p>
  </w:footnote>
  <w:footnote w:id="13">
    <w:p w:rsidR="00B52FFE" w:rsidRPr="00FB5B7F" w:rsidRDefault="00B52FFE" w:rsidP="00FB5B7F">
      <w:pPr>
        <w:pStyle w:val="a3"/>
        <w:jc w:val="both"/>
        <w:rPr>
          <w:sz w:val="22"/>
          <w:szCs w:val="22"/>
        </w:rPr>
      </w:pPr>
      <w:r w:rsidRPr="00FB5B7F">
        <w:rPr>
          <w:rStyle w:val="a5"/>
          <w:sz w:val="22"/>
          <w:szCs w:val="22"/>
        </w:rPr>
        <w:footnoteRef/>
      </w:r>
      <w:r w:rsidRPr="00FB5B7F">
        <w:rPr>
          <w:sz w:val="22"/>
          <w:szCs w:val="22"/>
        </w:rPr>
        <w:t xml:space="preserve"> Сравните с </w:t>
      </w:r>
      <w:proofErr w:type="spellStart"/>
      <w:r w:rsidRPr="00FB5B7F">
        <w:rPr>
          <w:sz w:val="22"/>
          <w:szCs w:val="22"/>
        </w:rPr>
        <w:t>чинопоследованием</w:t>
      </w:r>
      <w:proofErr w:type="spellEnd"/>
      <w:r w:rsidRPr="00FB5B7F">
        <w:rPr>
          <w:sz w:val="22"/>
          <w:szCs w:val="22"/>
        </w:rPr>
        <w:t xml:space="preserve"> таинства Крещения, во вовремя которого священник дует на желающего принять крещение. Само это символическое действие есть аллюзия как на Ин.20:22, так и на Быт.2:7. </w:t>
      </w:r>
    </w:p>
  </w:footnote>
  <w:footnote w:id="14">
    <w:p w:rsidR="00FB5B7F" w:rsidRPr="00FB5B7F" w:rsidRDefault="00FB5B7F" w:rsidP="00FB5B7F">
      <w:pPr>
        <w:spacing w:after="0" w:line="240" w:lineRule="auto"/>
        <w:jc w:val="both"/>
        <w:rPr>
          <w:sz w:val="22"/>
        </w:rPr>
      </w:pPr>
      <w:r w:rsidRPr="00FB5B7F">
        <w:rPr>
          <w:rStyle w:val="a5"/>
          <w:sz w:val="22"/>
        </w:rPr>
        <w:footnoteRef/>
      </w:r>
      <w:r w:rsidRPr="00FB5B7F">
        <w:rPr>
          <w:sz w:val="22"/>
        </w:rPr>
        <w:t xml:space="preserve"> По этому вопросу </w:t>
      </w:r>
      <w:proofErr w:type="spellStart"/>
      <w:r w:rsidRPr="00FB5B7F">
        <w:rPr>
          <w:sz w:val="22"/>
        </w:rPr>
        <w:t>см.подробно</w:t>
      </w:r>
      <w:proofErr w:type="spellEnd"/>
      <w:r w:rsidRPr="00FB5B7F">
        <w:rPr>
          <w:sz w:val="22"/>
        </w:rPr>
        <w:t xml:space="preserve">: </w:t>
      </w:r>
      <w:proofErr w:type="spellStart"/>
      <w:r w:rsidRPr="00FB5B7F">
        <w:rPr>
          <w:sz w:val="22"/>
        </w:rPr>
        <w:t>Киприан</w:t>
      </w:r>
      <w:proofErr w:type="spellEnd"/>
      <w:r w:rsidRPr="00FB5B7F">
        <w:rPr>
          <w:sz w:val="22"/>
        </w:rPr>
        <w:t xml:space="preserve"> (Керн), архим. Антропология свт. Григория </w:t>
      </w:r>
      <w:proofErr w:type="spellStart"/>
      <w:r w:rsidRPr="00FB5B7F">
        <w:rPr>
          <w:sz w:val="22"/>
        </w:rPr>
        <w:t>Паламы</w:t>
      </w:r>
      <w:proofErr w:type="spellEnd"/>
      <w:r w:rsidRPr="00FB5B7F">
        <w:rPr>
          <w:sz w:val="22"/>
        </w:rPr>
        <w:t xml:space="preserve">. В своем исследовании о. </w:t>
      </w:r>
      <w:proofErr w:type="spellStart"/>
      <w:r w:rsidRPr="00FB5B7F">
        <w:rPr>
          <w:sz w:val="22"/>
        </w:rPr>
        <w:t>Киприан</w:t>
      </w:r>
      <w:proofErr w:type="spellEnd"/>
      <w:r w:rsidRPr="00FB5B7F">
        <w:rPr>
          <w:sz w:val="22"/>
        </w:rPr>
        <w:t xml:space="preserve"> относит к </w:t>
      </w:r>
      <w:proofErr w:type="spellStart"/>
      <w:r w:rsidRPr="00FB5B7F">
        <w:rPr>
          <w:sz w:val="22"/>
        </w:rPr>
        <w:t>дихотомистам</w:t>
      </w:r>
      <w:proofErr w:type="spellEnd"/>
      <w:r w:rsidRPr="00FB5B7F">
        <w:rPr>
          <w:sz w:val="22"/>
        </w:rPr>
        <w:t xml:space="preserve"> Немезия </w:t>
      </w:r>
      <w:proofErr w:type="spellStart"/>
      <w:r w:rsidRPr="00FB5B7F">
        <w:rPr>
          <w:sz w:val="22"/>
        </w:rPr>
        <w:t>Емесского</w:t>
      </w:r>
      <w:proofErr w:type="spellEnd"/>
      <w:r w:rsidRPr="00FB5B7F">
        <w:rPr>
          <w:sz w:val="22"/>
        </w:rPr>
        <w:t xml:space="preserve">, </w:t>
      </w:r>
      <w:proofErr w:type="spellStart"/>
      <w:r w:rsidRPr="00FB5B7F">
        <w:rPr>
          <w:sz w:val="22"/>
        </w:rPr>
        <w:t>свт</w:t>
      </w:r>
      <w:proofErr w:type="spellEnd"/>
      <w:r w:rsidRPr="00FB5B7F">
        <w:rPr>
          <w:sz w:val="22"/>
        </w:rPr>
        <w:t xml:space="preserve">. Иоанна Златоуста, прп. Макария Египетского, </w:t>
      </w:r>
      <w:proofErr w:type="spellStart"/>
      <w:r w:rsidRPr="00FB5B7F">
        <w:rPr>
          <w:sz w:val="22"/>
        </w:rPr>
        <w:t>прп</w:t>
      </w:r>
      <w:proofErr w:type="spellEnd"/>
      <w:r w:rsidRPr="00FB5B7F">
        <w:rPr>
          <w:sz w:val="22"/>
        </w:rPr>
        <w:t xml:space="preserve">. Анастасия </w:t>
      </w:r>
      <w:proofErr w:type="spellStart"/>
      <w:r w:rsidRPr="00FB5B7F">
        <w:rPr>
          <w:sz w:val="22"/>
        </w:rPr>
        <w:t>Синаита</w:t>
      </w:r>
      <w:proofErr w:type="spellEnd"/>
      <w:r w:rsidRPr="00FB5B7F">
        <w:rPr>
          <w:sz w:val="22"/>
        </w:rPr>
        <w:t xml:space="preserve">, </w:t>
      </w:r>
      <w:proofErr w:type="spellStart"/>
      <w:r w:rsidRPr="00FB5B7F">
        <w:rPr>
          <w:sz w:val="22"/>
        </w:rPr>
        <w:t>прп</w:t>
      </w:r>
      <w:proofErr w:type="spellEnd"/>
      <w:r w:rsidRPr="00FB5B7F">
        <w:rPr>
          <w:sz w:val="22"/>
        </w:rPr>
        <w:t xml:space="preserve">. </w:t>
      </w:r>
      <w:proofErr w:type="spellStart"/>
      <w:r w:rsidRPr="00FB5B7F">
        <w:rPr>
          <w:sz w:val="22"/>
        </w:rPr>
        <w:t>Симеона</w:t>
      </w:r>
      <w:proofErr w:type="spellEnd"/>
      <w:r w:rsidRPr="00FB5B7F">
        <w:rPr>
          <w:sz w:val="22"/>
        </w:rPr>
        <w:t xml:space="preserve"> Нового Богослова и других св. отцов. </w:t>
      </w:r>
    </w:p>
  </w:footnote>
  <w:footnote w:id="15">
    <w:p w:rsidR="005D4986" w:rsidRDefault="005D4986">
      <w:pPr>
        <w:pStyle w:val="a3"/>
      </w:pPr>
      <w:r>
        <w:rPr>
          <w:rStyle w:val="a5"/>
        </w:rPr>
        <w:footnoteRef/>
      </w:r>
      <w:r>
        <w:t xml:space="preserve"> По этому поводу см. рассуждения </w:t>
      </w:r>
      <w:proofErr w:type="spellStart"/>
      <w:r>
        <w:t>свт</w:t>
      </w:r>
      <w:proofErr w:type="spellEnd"/>
      <w:r>
        <w:t xml:space="preserve">. Иннокентия (Борисова) в </w:t>
      </w:r>
      <w:r w:rsidRPr="005D4986">
        <w:t>Лекции//Лекция вторая. О человеке</w:t>
      </w:r>
      <w:r>
        <w:t xml:space="preserve">. </w:t>
      </w:r>
    </w:p>
  </w:footnote>
  <w:footnote w:id="16">
    <w:p w:rsidR="00FB5B7F" w:rsidRPr="00FB5B7F" w:rsidRDefault="00FB5B7F" w:rsidP="00FB5B7F">
      <w:pPr>
        <w:pStyle w:val="a3"/>
        <w:jc w:val="both"/>
        <w:rPr>
          <w:sz w:val="22"/>
          <w:szCs w:val="22"/>
        </w:rPr>
      </w:pPr>
      <w:r w:rsidRPr="00FB5B7F">
        <w:rPr>
          <w:rStyle w:val="a5"/>
          <w:sz w:val="22"/>
          <w:szCs w:val="22"/>
        </w:rPr>
        <w:footnoteRef/>
      </w:r>
      <w:r w:rsidRPr="00FB5B7F">
        <w:rPr>
          <w:sz w:val="22"/>
          <w:szCs w:val="22"/>
        </w:rPr>
        <w:t xml:space="preserve"> Сильвестр (</w:t>
      </w:r>
      <w:proofErr w:type="spellStart"/>
      <w:r w:rsidRPr="00FB5B7F">
        <w:rPr>
          <w:sz w:val="22"/>
          <w:szCs w:val="22"/>
        </w:rPr>
        <w:t>Малеванский</w:t>
      </w:r>
      <w:proofErr w:type="spellEnd"/>
      <w:r w:rsidRPr="00FB5B7F">
        <w:rPr>
          <w:sz w:val="22"/>
          <w:szCs w:val="22"/>
        </w:rPr>
        <w:t xml:space="preserve">), </w:t>
      </w:r>
      <w:proofErr w:type="spellStart"/>
      <w:r w:rsidRPr="00FB5B7F">
        <w:rPr>
          <w:sz w:val="22"/>
          <w:szCs w:val="22"/>
        </w:rPr>
        <w:t>еп</w:t>
      </w:r>
      <w:proofErr w:type="spellEnd"/>
      <w:r w:rsidRPr="00FB5B7F">
        <w:rPr>
          <w:sz w:val="22"/>
          <w:szCs w:val="22"/>
        </w:rPr>
        <w:t xml:space="preserve">. Опыт православного догматического богословия с историческим изложением догматов.  Санкт-Петербург, 2008 г. Т.3, С. 229-230 </w:t>
      </w:r>
    </w:p>
  </w:footnote>
  <w:footnote w:id="17">
    <w:p w:rsidR="00FB5B7F" w:rsidRPr="00FB5B7F" w:rsidRDefault="00FB5B7F" w:rsidP="00FB5B7F">
      <w:pPr>
        <w:pStyle w:val="a3"/>
        <w:jc w:val="both"/>
        <w:rPr>
          <w:sz w:val="22"/>
          <w:szCs w:val="22"/>
        </w:rPr>
      </w:pPr>
      <w:r w:rsidRPr="00FB5B7F">
        <w:rPr>
          <w:rStyle w:val="a5"/>
          <w:sz w:val="22"/>
          <w:szCs w:val="22"/>
        </w:rPr>
        <w:footnoteRef/>
      </w:r>
      <w:r w:rsidRPr="00FB5B7F">
        <w:rPr>
          <w:sz w:val="22"/>
          <w:szCs w:val="22"/>
        </w:rPr>
        <w:t xml:space="preserve"> </w:t>
      </w:r>
      <w:proofErr w:type="spellStart"/>
      <w:r w:rsidRPr="00FB5B7F">
        <w:rPr>
          <w:sz w:val="22"/>
          <w:szCs w:val="22"/>
        </w:rPr>
        <w:t>Цит.по</w:t>
      </w:r>
      <w:proofErr w:type="spellEnd"/>
      <w:r w:rsidRPr="00FB5B7F">
        <w:rPr>
          <w:sz w:val="22"/>
          <w:szCs w:val="22"/>
        </w:rPr>
        <w:t xml:space="preserve">: </w:t>
      </w:r>
      <w:proofErr w:type="spellStart"/>
      <w:r w:rsidRPr="00FB5B7F">
        <w:rPr>
          <w:sz w:val="22"/>
          <w:szCs w:val="22"/>
        </w:rPr>
        <w:t>Киприан</w:t>
      </w:r>
      <w:proofErr w:type="spellEnd"/>
      <w:r w:rsidRPr="00FB5B7F">
        <w:rPr>
          <w:sz w:val="22"/>
          <w:szCs w:val="22"/>
        </w:rPr>
        <w:t xml:space="preserve"> (Керн), архим. Антропология свт. Григория </w:t>
      </w:r>
      <w:proofErr w:type="spellStart"/>
      <w:r w:rsidRPr="00FB5B7F">
        <w:rPr>
          <w:sz w:val="22"/>
          <w:szCs w:val="22"/>
        </w:rPr>
        <w:t>Паламы</w:t>
      </w:r>
      <w:proofErr w:type="spellEnd"/>
      <w:r w:rsidRPr="00FB5B7F">
        <w:rPr>
          <w:sz w:val="22"/>
          <w:szCs w:val="22"/>
        </w:rPr>
        <w:t xml:space="preserve">. </w:t>
      </w:r>
    </w:p>
  </w:footnote>
  <w:footnote w:id="18">
    <w:p w:rsidR="00FB5B7F" w:rsidRPr="00FB5B7F" w:rsidRDefault="00FB5B7F" w:rsidP="00FB5B7F">
      <w:pPr>
        <w:pStyle w:val="a3"/>
        <w:jc w:val="both"/>
        <w:rPr>
          <w:sz w:val="22"/>
          <w:szCs w:val="22"/>
        </w:rPr>
      </w:pPr>
      <w:r w:rsidRPr="00FB5B7F">
        <w:rPr>
          <w:rStyle w:val="a5"/>
          <w:sz w:val="22"/>
          <w:szCs w:val="22"/>
        </w:rPr>
        <w:footnoteRef/>
      </w:r>
      <w:r w:rsidRPr="00FB5B7F">
        <w:rPr>
          <w:sz w:val="22"/>
          <w:szCs w:val="22"/>
        </w:rPr>
        <w:t xml:space="preserve"> </w:t>
      </w:r>
      <w:proofErr w:type="spellStart"/>
      <w:r w:rsidRPr="00FB5B7F">
        <w:rPr>
          <w:sz w:val="22"/>
          <w:szCs w:val="22"/>
        </w:rPr>
        <w:t>Дихотомизм</w:t>
      </w:r>
      <w:proofErr w:type="spellEnd"/>
      <w:r w:rsidRPr="00FB5B7F">
        <w:rPr>
          <w:sz w:val="22"/>
          <w:szCs w:val="22"/>
        </w:rPr>
        <w:t>// Православная энциклопедия, Т. 15, С. 419</w:t>
      </w:r>
    </w:p>
  </w:footnote>
  <w:footnote w:id="19">
    <w:p w:rsidR="00FB5B7F" w:rsidRPr="00FB5B7F" w:rsidRDefault="00FB5B7F" w:rsidP="00FB5B7F">
      <w:pPr>
        <w:pStyle w:val="a3"/>
        <w:jc w:val="both"/>
        <w:rPr>
          <w:sz w:val="22"/>
          <w:szCs w:val="22"/>
        </w:rPr>
      </w:pPr>
      <w:r w:rsidRPr="00FB5B7F">
        <w:rPr>
          <w:rStyle w:val="a5"/>
          <w:sz w:val="22"/>
          <w:szCs w:val="22"/>
        </w:rPr>
        <w:footnoteRef/>
      </w:r>
      <w:r w:rsidRPr="00FB5B7F">
        <w:rPr>
          <w:sz w:val="22"/>
          <w:szCs w:val="22"/>
        </w:rPr>
        <w:t xml:space="preserve"> Критику учения Аполлинария, и в том числе его антропологии, см у свт. Григория Богослова. Послания </w:t>
      </w:r>
      <w:r w:rsidRPr="00FB5B7F">
        <w:rPr>
          <w:sz w:val="22"/>
          <w:szCs w:val="22"/>
        </w:rPr>
        <w:t xml:space="preserve">к Каледонию против Аполлинария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577"/>
    <w:rsid w:val="0007456D"/>
    <w:rsid w:val="000A1998"/>
    <w:rsid w:val="000A38C3"/>
    <w:rsid w:val="001113CE"/>
    <w:rsid w:val="00204AA3"/>
    <w:rsid w:val="00221F75"/>
    <w:rsid w:val="00234E8C"/>
    <w:rsid w:val="002548EF"/>
    <w:rsid w:val="002E5BD3"/>
    <w:rsid w:val="00342577"/>
    <w:rsid w:val="00496453"/>
    <w:rsid w:val="00506650"/>
    <w:rsid w:val="00581E04"/>
    <w:rsid w:val="00585BDE"/>
    <w:rsid w:val="005A2299"/>
    <w:rsid w:val="005A4588"/>
    <w:rsid w:val="005D4986"/>
    <w:rsid w:val="005D50A2"/>
    <w:rsid w:val="00782A1A"/>
    <w:rsid w:val="00951DA2"/>
    <w:rsid w:val="00A61866"/>
    <w:rsid w:val="00B52FFE"/>
    <w:rsid w:val="00BF1026"/>
    <w:rsid w:val="00CA439B"/>
    <w:rsid w:val="00E50C13"/>
    <w:rsid w:val="00E62BBB"/>
    <w:rsid w:val="00EB2D24"/>
    <w:rsid w:val="00EF4ABA"/>
    <w:rsid w:val="00F23B62"/>
    <w:rsid w:val="00FA3238"/>
    <w:rsid w:val="00FB5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E8F86"/>
  <w15:chartTrackingRefBased/>
  <w15:docId w15:val="{0EF47AEC-EC45-48B2-9BA1-95BB82C3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5A22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A2299"/>
    <w:pPr>
      <w:spacing w:after="0" w:line="240" w:lineRule="auto"/>
    </w:pPr>
    <w:rPr>
      <w:sz w:val="20"/>
      <w:szCs w:val="20"/>
    </w:rPr>
  </w:style>
  <w:style w:type="character" w:customStyle="1" w:styleId="a4">
    <w:name w:val="Текст сноски Знак"/>
    <w:basedOn w:val="a0"/>
    <w:link w:val="a3"/>
    <w:uiPriority w:val="99"/>
    <w:semiHidden/>
    <w:rsid w:val="005A2299"/>
    <w:rPr>
      <w:sz w:val="20"/>
      <w:szCs w:val="20"/>
    </w:rPr>
  </w:style>
  <w:style w:type="character" w:styleId="a5">
    <w:name w:val="footnote reference"/>
    <w:basedOn w:val="a0"/>
    <w:uiPriority w:val="99"/>
    <w:semiHidden/>
    <w:unhideWhenUsed/>
    <w:rsid w:val="005A2299"/>
    <w:rPr>
      <w:vertAlign w:val="superscript"/>
    </w:rPr>
  </w:style>
  <w:style w:type="paragraph" w:styleId="a6">
    <w:name w:val="header"/>
    <w:basedOn w:val="a"/>
    <w:link w:val="a7"/>
    <w:uiPriority w:val="99"/>
    <w:unhideWhenUsed/>
    <w:rsid w:val="00BF102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F1026"/>
  </w:style>
  <w:style w:type="paragraph" w:styleId="a8">
    <w:name w:val="footer"/>
    <w:basedOn w:val="a"/>
    <w:link w:val="a9"/>
    <w:uiPriority w:val="99"/>
    <w:unhideWhenUsed/>
    <w:rsid w:val="00BF102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F1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97CEF-A0B8-4BB9-BEFA-9180395E5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4</Pages>
  <Words>968</Words>
  <Characters>5518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архим. Сильвестр</dc:creator>
  <cp:keywords/>
  <dc:description/>
  <cp:lastModifiedBy>Александр Стойчев</cp:lastModifiedBy>
  <cp:revision>25</cp:revision>
  <dcterms:created xsi:type="dcterms:W3CDTF">2015-10-25T11:00:00Z</dcterms:created>
  <dcterms:modified xsi:type="dcterms:W3CDTF">2017-02-05T16:12:00Z</dcterms:modified>
</cp:coreProperties>
</file>